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693FFF" w:rsidRDefault="00592E00">
      <w:pPr>
        <w:jc w:val="center"/>
      </w:pPr>
      <w:r>
        <w:rPr>
          <w:b/>
          <w:sz w:val="36"/>
        </w:rPr>
        <w:t>Cohorte empathique</w:t>
      </w:r>
      <w:r>
        <w:rPr>
          <w:b/>
          <w:sz w:val="36"/>
        </w:rPr>
        <w:br/>
      </w:r>
      <w:r>
        <w:rPr>
          <w:b/>
          <w:sz w:val="36"/>
        </w:rPr>
        <w:t>Session 1 : liste des Habitudes d’écoute</w:t>
      </w:r>
    </w:p>
    <w:p w:rsidR="00693FFF" w:rsidRDefault="00693FFF">
      <w:pPr>
        <w:pStyle w:val="NormalWeb"/>
        <w:shd w:val="clear" w:color="auto" w:fill="FFFFFF"/>
        <w:spacing w:after="0pt"/>
      </w:pP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Dramatiser / Amplifier / Surenchérir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Ramener à soi / Raconter des anecdotes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 xml:space="preserve">Donner des conseils / des ordres / des </w:t>
      </w: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solutions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Affirmer / savoir sur l’autre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Relativiser / dédramatiser / amoindrir / Nier l’expérience de l’autre / banaliser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Interpréter / analyser / diagnostiquer / Affirmer (savoir sur l’autre)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Poser des questions de curiosité / investiguer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Juger / culpabil</w:t>
      </w: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iser / faire la morale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Prendre parti / faire de l’empathie au tiers absent / justifier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Blaguer / changer de sujet / couper la parole / clore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Généraliser</w:t>
      </w:r>
    </w:p>
    <w:p w:rsidR="00693FFF" w:rsidRDefault="00592E00">
      <w:pPr>
        <w:pStyle w:val="NormalWeb"/>
        <w:numPr>
          <w:ilvl w:val="0"/>
          <w:numId w:val="1"/>
        </w:numPr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Consoler / rassurer</w:t>
      </w:r>
    </w:p>
    <w:p w:rsidR="00693FFF" w:rsidRDefault="00693FFF">
      <w:pPr>
        <w:pStyle w:val="NormalWeb"/>
        <w:shd w:val="clear" w:color="auto" w:fill="FFFFFF"/>
        <w:spacing w:after="0pt"/>
        <w:ind w:start="18pt"/>
      </w:pPr>
    </w:p>
    <w:p w:rsidR="00693FFF" w:rsidRDefault="00592E00">
      <w:pPr>
        <w:pStyle w:val="NormalWeb"/>
        <w:shd w:val="clear" w:color="auto" w:fill="FFFFFF"/>
        <w:spacing w:after="0pt"/>
      </w:pPr>
      <w:r>
        <w:rPr>
          <w:rStyle w:val="lev"/>
          <w:rFonts w:ascii="Arial" w:hAnsi="Arial" w:cs="Arial"/>
          <w:b w:val="0"/>
          <w:color w:val="444556"/>
          <w:sz w:val="32"/>
          <w:szCs w:val="32"/>
        </w:rPr>
        <w:t>Complément : Liste des 12 obstacles de Thomas Gordon</w:t>
      </w:r>
    </w:p>
    <w:sectPr w:rsidR="00693FFF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92E00" w:rsidRDefault="00592E00">
      <w:pPr>
        <w:spacing w:after="0pt" w:line="12pt" w:lineRule="auto"/>
      </w:pPr>
      <w:r>
        <w:separator/>
      </w:r>
    </w:p>
  </w:endnote>
  <w:endnote w:type="continuationSeparator" w:id="0">
    <w:p w:rsidR="00592E00" w:rsidRDefault="00592E0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A08D6" w:rsidRDefault="00592E00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796" cy="685800"/>
          <wp:effectExtent l="0" t="0" r="1905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79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0A08D6" w:rsidRDefault="00592E0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</w:t>
                      </w:r>
                      <w:r>
                        <w:rPr>
                          <w:sz w:val="14"/>
                        </w:rPr>
                        <w:t>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2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</w:p>
  <w:p w:rsidR="000A08D6" w:rsidRDefault="00592E00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92E00" w:rsidRDefault="00592E00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592E00" w:rsidRDefault="00592E00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84B43F5"/>
    <w:multiLevelType w:val="multilevel"/>
    <w:tmpl w:val="813EA432"/>
    <w:lvl w:ilvl="0">
      <w:numFmt w:val="bullet"/>
      <w:lvlText w:val="-"/>
      <w:lvlJc w:val="start"/>
      <w:pPr>
        <w:ind w:start="36pt" w:hanging="18pt"/>
      </w:pPr>
      <w:rPr>
        <w:rFonts w:ascii="Arial" w:eastAsia="Times New Roman" w:hAnsi="Arial" w:cs="Arial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93FFF"/>
    <w:rsid w:val="00592E00"/>
    <w:rsid w:val="00693FFF"/>
    <w:rsid w:val="00A1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8082153-343B-4E37-8E56-41853792D18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 w:line="12.8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 w:line="12pt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2024-05-28T10:48:00Z</dcterms:created>
  <dcterms:modified xsi:type="dcterms:W3CDTF">2024-05-28T10:48:00Z</dcterms:modified>
</cp:coreProperties>
</file>